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3828"/>
      </w:tblGrid>
      <w:tr w:rsidR="00305AAD" w:rsidRPr="00781378" w:rsidTr="00613383">
        <w:tc>
          <w:tcPr>
            <w:tcW w:w="2890" w:type="pct"/>
          </w:tcPr>
          <w:p w:rsidR="00305AAD" w:rsidRPr="00781378" w:rsidRDefault="00305AAD" w:rsidP="00781378">
            <w:pPr>
              <w:spacing w:after="0"/>
              <w:jc w:val="left"/>
              <w:rPr>
                <w:rFonts w:eastAsia="Arial"/>
                <w:szCs w:val="20"/>
                <w:lang w:val="de-CH" w:eastAsia="en-US"/>
              </w:rPr>
            </w:pPr>
            <w:r w:rsidRPr="00781378">
              <w:rPr>
                <w:rFonts w:eastAsia="Arial"/>
                <w:noProof/>
                <w:szCs w:val="20"/>
                <w:lang w:val="de-CH" w:eastAsia="fr-CH"/>
              </w:rPr>
              <w:drawing>
                <wp:inline distT="0" distB="0" distL="0" distR="0" wp14:anchorId="10EC9CFB" wp14:editId="604F0CEB">
                  <wp:extent cx="504825" cy="511810"/>
                  <wp:effectExtent l="0" t="0" r="9525" b="254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pct"/>
          </w:tcPr>
          <w:p w:rsidR="00305AAD" w:rsidRPr="00781378" w:rsidRDefault="00305AAD" w:rsidP="00781378">
            <w:pPr>
              <w:spacing w:after="0"/>
              <w:jc w:val="left"/>
              <w:rPr>
                <w:rFonts w:eastAsia="Arial"/>
                <w:b/>
                <w:noProof/>
                <w:sz w:val="15"/>
                <w:szCs w:val="20"/>
                <w:lang w:val="de-CH" w:eastAsia="fr-CH"/>
              </w:rPr>
            </w:pPr>
            <w:r w:rsidRPr="00781378">
              <w:rPr>
                <w:rFonts w:eastAsia="Arial"/>
                <w:b/>
                <w:noProof/>
                <w:sz w:val="15"/>
                <w:szCs w:val="20"/>
                <w:lang w:val="de-CH" w:eastAsia="fr-CH"/>
              </w:rPr>
              <w:t>Office de l’assurance-invalidité</w:t>
            </w:r>
          </w:p>
          <w:p w:rsidR="00305AAD" w:rsidRPr="00781378" w:rsidRDefault="00305AAD" w:rsidP="00781378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val="de-CH" w:eastAsia="fr-CH"/>
              </w:rPr>
            </w:pPr>
            <w:r w:rsidRPr="00781378">
              <w:rPr>
                <w:rFonts w:eastAsia="Arial"/>
                <w:b/>
                <w:noProof/>
                <w:sz w:val="15"/>
                <w:szCs w:val="20"/>
                <w:lang w:val="de-CH" w:eastAsia="fr-CH"/>
              </w:rPr>
              <w:t>Invalidenversicherungs-Stelle</w:t>
            </w:r>
          </w:p>
          <w:p w:rsidR="00305AAD" w:rsidRPr="00781378" w:rsidRDefault="00305AAD" w:rsidP="00781378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val="de-CH" w:eastAsia="fr-CH"/>
              </w:rPr>
            </w:pPr>
            <w:r w:rsidRPr="00781378">
              <w:rPr>
                <w:rFonts w:eastAsia="Arial"/>
                <w:noProof/>
                <w:sz w:val="15"/>
                <w:szCs w:val="20"/>
                <w:lang w:val="de-CH" w:eastAsia="fr-CH"/>
              </w:rPr>
              <w:t>Fribourg – Freiburg</w:t>
            </w:r>
          </w:p>
          <w:p w:rsidR="00305AAD" w:rsidRPr="00781378" w:rsidRDefault="00305AAD" w:rsidP="00781378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val="de-CH" w:eastAsia="fr-CH"/>
              </w:rPr>
            </w:pPr>
          </w:p>
          <w:p w:rsidR="00305AAD" w:rsidRPr="00781378" w:rsidRDefault="00305AAD" w:rsidP="00781378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val="de-CH" w:eastAsia="fr-CH"/>
              </w:rPr>
            </w:pPr>
            <w:r w:rsidRPr="00781378">
              <w:rPr>
                <w:rFonts w:eastAsia="Arial"/>
                <w:noProof/>
                <w:sz w:val="15"/>
                <w:szCs w:val="20"/>
                <w:lang w:val="de-CH" w:eastAsia="fr-CH"/>
              </w:rPr>
              <w:t>Impasse de la Colline 1, 1762 Givisiez</w:t>
            </w:r>
          </w:p>
          <w:p w:rsidR="00305AAD" w:rsidRPr="00781378" w:rsidRDefault="00305AAD" w:rsidP="00781378">
            <w:pPr>
              <w:spacing w:after="0"/>
              <w:jc w:val="left"/>
              <w:rPr>
                <w:rFonts w:eastAsia="Arial"/>
                <w:sz w:val="15"/>
                <w:szCs w:val="20"/>
                <w:lang w:val="de-CH" w:eastAsia="fr-CH"/>
              </w:rPr>
            </w:pPr>
            <w:r w:rsidRPr="00781378">
              <w:rPr>
                <w:rFonts w:eastAsia="Arial"/>
                <w:noProof/>
                <w:sz w:val="15"/>
                <w:szCs w:val="20"/>
                <w:lang w:val="de-CH" w:eastAsia="fr-CH"/>
              </w:rPr>
              <w:t>T +41 26 426 70 00  —  www.aifr.ch</w:t>
            </w:r>
          </w:p>
        </w:tc>
      </w:tr>
    </w:tbl>
    <w:p w:rsidR="00D5312D" w:rsidRDefault="00D5312D" w:rsidP="00781378">
      <w:pPr>
        <w:spacing w:after="0"/>
        <w:jc w:val="left"/>
        <w:rPr>
          <w:lang w:val="de-CH"/>
        </w:rPr>
      </w:pPr>
    </w:p>
    <w:p w:rsidR="00781378" w:rsidRPr="00637372" w:rsidRDefault="00781378" w:rsidP="00781378">
      <w:pPr>
        <w:spacing w:after="0"/>
        <w:jc w:val="left"/>
        <w:rPr>
          <w:b/>
          <w:lang w:val="de-CH"/>
        </w:rPr>
      </w:pPr>
      <w:r w:rsidRPr="00637372">
        <w:rPr>
          <w:b/>
          <w:lang w:val="de-CH"/>
        </w:rPr>
        <w:t>Merkblatt für Lehrbetriebe: IV-Taggeld im Rahmen einer Erstausbildung</w:t>
      </w:r>
      <w:bookmarkStart w:id="0" w:name="_GoBack"/>
      <w:bookmarkEnd w:id="0"/>
    </w:p>
    <w:p w:rsidR="0016686E" w:rsidRPr="00781378" w:rsidRDefault="0016686E" w:rsidP="00781378">
      <w:pPr>
        <w:spacing w:after="0"/>
        <w:jc w:val="left"/>
        <w:rPr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4101"/>
        <w:gridCol w:w="567"/>
        <w:gridCol w:w="3955"/>
      </w:tblGrid>
      <w:tr w:rsidR="00565963" w:rsidRPr="00565963" w:rsidTr="00637372">
        <w:tc>
          <w:tcPr>
            <w:tcW w:w="439" w:type="dxa"/>
          </w:tcPr>
          <w:p w:rsidR="0016686E" w:rsidRPr="00565963" w:rsidRDefault="0016686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4101" w:type="dxa"/>
          </w:tcPr>
          <w:p w:rsidR="0016686E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Einführung</w:t>
            </w:r>
          </w:p>
          <w:p w:rsidR="00781378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Der erfolgreiche Start ins Berufsleben ist wichtig. Deshalb engagiert sich die IV für die berufliche Erstausbildung von Jugendlichen und jungen Erwachsenen. Sie beteiligt sich an den gesundheits-bedingten Mehrkosten. Das IV-Taggeld ist eine von vielen IV-Eingliederungsleistungen.</w:t>
            </w:r>
          </w:p>
        </w:tc>
        <w:tc>
          <w:tcPr>
            <w:tcW w:w="567" w:type="dxa"/>
          </w:tcPr>
          <w:p w:rsidR="0016686E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3.2</w:t>
            </w:r>
          </w:p>
        </w:tc>
        <w:tc>
          <w:tcPr>
            <w:tcW w:w="3955" w:type="dxa"/>
          </w:tcPr>
          <w:p w:rsidR="008C2EC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Krankheit</w:t>
            </w:r>
          </w:p>
          <w:p w:rsidR="008C2EC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Weiterausrichtung des IV-Taggelds:</w:t>
            </w:r>
          </w:p>
          <w:p w:rsidR="008C2ECE" w:rsidRPr="00565963" w:rsidRDefault="008C2ECE" w:rsidP="008C2ECE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im 1. Massnahmenjahr während längstens 30 Tagen</w:t>
            </w:r>
          </w:p>
          <w:p w:rsidR="008C2ECE" w:rsidRPr="00565963" w:rsidRDefault="008C2ECE" w:rsidP="008C2ECE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im 2. Massnahmenjahr während längstens 60 Tagen</w:t>
            </w:r>
          </w:p>
          <w:p w:rsidR="008C2ECE" w:rsidRPr="00565963" w:rsidRDefault="008C2ECE" w:rsidP="008C2ECE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ab 3. Massnahmenjahr während längstens 90 Tagen</w:t>
            </w:r>
          </w:p>
          <w:p w:rsidR="003F22C3" w:rsidRDefault="003F22C3" w:rsidP="008C2ECE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</w:p>
          <w:p w:rsidR="008C2EC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Wichtig</w:t>
            </w:r>
            <w:r w:rsidRPr="00565963">
              <w:rPr>
                <w:rFonts w:cs="Arial"/>
                <w:sz w:val="16"/>
                <w:szCs w:val="16"/>
                <w:lang w:val="de-CH"/>
              </w:rPr>
              <w:t xml:space="preserve">: Ist der jährliche Anspruch auf Taggelder bei Unterbrüchen (auch einzelnen Tagen) während der Massnahme erschöpft, stellt die Ausgleichskasse die Taggeldzahlung ein, auch wenn die krankheits-bedingte Absenz weiterhin andauert. Nicht bezogene </w:t>
            </w:r>
            <w:proofErr w:type="spellStart"/>
            <w:r w:rsidRPr="00565963">
              <w:rPr>
                <w:rFonts w:cs="Arial"/>
                <w:sz w:val="16"/>
                <w:szCs w:val="16"/>
                <w:lang w:val="de-CH"/>
              </w:rPr>
              <w:t>Absenztage</w:t>
            </w:r>
            <w:proofErr w:type="spellEnd"/>
            <w:r w:rsidRPr="00565963">
              <w:rPr>
                <w:rFonts w:cs="Arial"/>
                <w:sz w:val="16"/>
                <w:szCs w:val="16"/>
                <w:lang w:val="de-CH"/>
              </w:rPr>
              <w:t xml:space="preserve"> können nicht aufs Folgejahr übertragen werden.</w:t>
            </w:r>
          </w:p>
          <w:p w:rsidR="008C2EC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In diesem Fall greift die Lohnfortzahlung des Lehrbetriebs.</w:t>
            </w:r>
          </w:p>
          <w:p w:rsidR="0016686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Wenn sich die Absenzen des Lernenden häufen, sollte der Lehrbetrieb die IV-Stelle informieren. Dann können die Berufsberaterin oder der Berufs-berater sowie der Job Coach gemeinsam mit dem Lehrbetrieb nach Lösungen suchen.</w:t>
            </w:r>
          </w:p>
        </w:tc>
      </w:tr>
      <w:tr w:rsidR="00565963" w:rsidRPr="00565963" w:rsidTr="00637372">
        <w:tc>
          <w:tcPr>
            <w:tcW w:w="439" w:type="dxa"/>
          </w:tcPr>
          <w:p w:rsidR="0016686E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1.</w:t>
            </w:r>
          </w:p>
        </w:tc>
        <w:tc>
          <w:tcPr>
            <w:tcW w:w="4101" w:type="dxa"/>
          </w:tcPr>
          <w:p w:rsidR="00781378" w:rsidRPr="00565963" w:rsidRDefault="00781378" w:rsidP="00781378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Höhe des Taggelds</w:t>
            </w:r>
          </w:p>
          <w:p w:rsidR="0016686E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Im Rahmen der beruflichen Erstausbildung zahlt die IV das Taggeld während der gezielten Berufsvor-bereitung und dann während der Berufsausbildung aus. Die Höhe des IV-Taggelds ist geregelt.</w:t>
            </w:r>
          </w:p>
        </w:tc>
        <w:tc>
          <w:tcPr>
            <w:tcW w:w="567" w:type="dxa"/>
          </w:tcPr>
          <w:p w:rsidR="0016686E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3.3</w:t>
            </w:r>
          </w:p>
        </w:tc>
        <w:tc>
          <w:tcPr>
            <w:tcW w:w="3955" w:type="dxa"/>
          </w:tcPr>
          <w:p w:rsidR="008C2EC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Unfall</w:t>
            </w:r>
          </w:p>
          <w:p w:rsidR="008C2EC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Weiterausrichtung des IV-Taggelds während zwei Tagen, danach greift entweder die Lohnfortzahlung oder die Unfallversicherung des Lehrbetriebs.</w:t>
            </w:r>
          </w:p>
          <w:p w:rsidR="008C2EC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  <w:p w:rsidR="0016686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Wichtig</w:t>
            </w:r>
            <w:r w:rsidRPr="00565963">
              <w:rPr>
                <w:rFonts w:cs="Arial"/>
                <w:sz w:val="16"/>
                <w:szCs w:val="16"/>
                <w:lang w:val="de-CH"/>
              </w:rPr>
              <w:t xml:space="preserve">: Ab dem 3. </w:t>
            </w:r>
            <w:proofErr w:type="spellStart"/>
            <w:r w:rsidRPr="00565963">
              <w:rPr>
                <w:rFonts w:cs="Arial"/>
                <w:sz w:val="16"/>
                <w:szCs w:val="16"/>
                <w:lang w:val="de-CH"/>
              </w:rPr>
              <w:t>Absenztag</w:t>
            </w:r>
            <w:proofErr w:type="spellEnd"/>
            <w:r w:rsidRPr="00565963">
              <w:rPr>
                <w:rFonts w:cs="Arial"/>
                <w:sz w:val="16"/>
                <w:szCs w:val="16"/>
                <w:lang w:val="de-CH"/>
              </w:rPr>
              <w:t xml:space="preserve"> infolge Krankheit oder Unfall muss die oder der Lernende der Ausgleichskasse ein Arztzeugnis einreichen.</w:t>
            </w:r>
          </w:p>
        </w:tc>
      </w:tr>
      <w:tr w:rsidR="00565963" w:rsidRPr="00565963" w:rsidTr="00637372">
        <w:tc>
          <w:tcPr>
            <w:tcW w:w="439" w:type="dxa"/>
          </w:tcPr>
          <w:p w:rsidR="0016686E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1.1</w:t>
            </w:r>
          </w:p>
        </w:tc>
        <w:tc>
          <w:tcPr>
            <w:tcW w:w="4101" w:type="dxa"/>
          </w:tcPr>
          <w:p w:rsidR="00781378" w:rsidRPr="00565963" w:rsidRDefault="00781378" w:rsidP="00781378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Während gezielter Berufsvorbereitung</w:t>
            </w:r>
          </w:p>
          <w:p w:rsidR="0016686E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Es gilt ein Einheitstarif. Wenn die IV während der gezielten Berufsvorbereitung mit einem IV-Taggeld unterstützt, besteht pro Monat ein Anspruch auf CHF 307.00 (Stand: 2023).</w:t>
            </w:r>
          </w:p>
        </w:tc>
        <w:tc>
          <w:tcPr>
            <w:tcW w:w="567" w:type="dxa"/>
          </w:tcPr>
          <w:p w:rsidR="0016686E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3.4</w:t>
            </w:r>
          </w:p>
        </w:tc>
        <w:tc>
          <w:tcPr>
            <w:tcW w:w="3955" w:type="dxa"/>
          </w:tcPr>
          <w:p w:rsidR="008C2EC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Mutterschaft</w:t>
            </w:r>
          </w:p>
          <w:p w:rsidR="0016686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Weiterausrichtung IV-Taggeld analog Regelung im Krankheitsfall, au</w:t>
            </w:r>
            <w:r w:rsidRPr="00565963">
              <w:rPr>
                <w:rFonts w:cs="Arial"/>
                <w:sz w:val="16"/>
                <w:szCs w:val="16"/>
                <w:lang w:val="de-CH"/>
              </w:rPr>
              <w:t>sser eine andere Sozialversiche</w:t>
            </w:r>
            <w:r w:rsidRPr="00565963">
              <w:rPr>
                <w:rFonts w:cs="Arial"/>
                <w:sz w:val="16"/>
                <w:szCs w:val="16"/>
                <w:lang w:val="de-CH"/>
              </w:rPr>
              <w:t>rung greift.</w:t>
            </w:r>
          </w:p>
        </w:tc>
      </w:tr>
      <w:tr w:rsidR="00565963" w:rsidRPr="00565963" w:rsidTr="00637372">
        <w:tc>
          <w:tcPr>
            <w:tcW w:w="439" w:type="dxa"/>
          </w:tcPr>
          <w:p w:rsidR="0016686E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1.2</w:t>
            </w:r>
          </w:p>
        </w:tc>
        <w:tc>
          <w:tcPr>
            <w:tcW w:w="4101" w:type="dxa"/>
          </w:tcPr>
          <w:p w:rsidR="00781378" w:rsidRPr="00565963" w:rsidRDefault="00781378" w:rsidP="00781378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Während der erstmaligen Berufsausbildung</w:t>
            </w:r>
          </w:p>
          <w:p w:rsidR="00781378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Die Höhe des IV-Taggelds hängt vom Ausbildungs-niveau ab. Für Ausbildungen mit eidgenössischem Fähigkeitszeugnis (EFZ) oder eidgenössischem Berufsattest (EBA) entspricht sie dem im Lehrvertrag vereinbarten Betrag. Für praktische Ausbildungen (</w:t>
            </w:r>
            <w:proofErr w:type="spellStart"/>
            <w:r w:rsidRPr="00565963">
              <w:rPr>
                <w:rFonts w:cs="Arial"/>
                <w:sz w:val="16"/>
                <w:szCs w:val="16"/>
                <w:lang w:val="de-CH"/>
              </w:rPr>
              <w:t>PrA</w:t>
            </w:r>
            <w:proofErr w:type="spellEnd"/>
            <w:r w:rsidRPr="00565963">
              <w:rPr>
                <w:rFonts w:cs="Arial"/>
                <w:sz w:val="16"/>
                <w:szCs w:val="16"/>
                <w:lang w:val="de-CH"/>
              </w:rPr>
              <w:t>) ist die Höhe verbindlich geregelt (Stand: 2023):</w:t>
            </w:r>
          </w:p>
          <w:p w:rsidR="00781378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CHF 307.00 im 1. Lehrjahr</w:t>
            </w:r>
          </w:p>
          <w:p w:rsidR="0016686E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CHF 409.00 im 2. Lehrjahr</w:t>
            </w:r>
          </w:p>
        </w:tc>
        <w:tc>
          <w:tcPr>
            <w:tcW w:w="567" w:type="dxa"/>
          </w:tcPr>
          <w:p w:rsidR="0016686E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3.5</w:t>
            </w:r>
          </w:p>
        </w:tc>
        <w:tc>
          <w:tcPr>
            <w:tcW w:w="3955" w:type="dxa"/>
          </w:tcPr>
          <w:p w:rsidR="008C2EC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Vaterschaft</w:t>
            </w:r>
          </w:p>
          <w:p w:rsidR="0016686E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Bezug des Vaterschaftsurlaubs nach Erwerbsersatzordnung. Besteht kein Anspruch auf den Vaterschaftsurlaub, übernimmt die IV kein Taggeld für die Unterbrüche aufgrund der Vaterschaft.</w:t>
            </w:r>
          </w:p>
        </w:tc>
      </w:tr>
      <w:tr w:rsidR="00781378" w:rsidRPr="00565963" w:rsidTr="00637372">
        <w:tc>
          <w:tcPr>
            <w:tcW w:w="439" w:type="dxa"/>
          </w:tcPr>
          <w:p w:rsidR="00781378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2.</w:t>
            </w:r>
          </w:p>
        </w:tc>
        <w:tc>
          <w:tcPr>
            <w:tcW w:w="4101" w:type="dxa"/>
          </w:tcPr>
          <w:p w:rsidR="00781378" w:rsidRPr="00565963" w:rsidRDefault="00781378" w:rsidP="00781378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Auszahlung an Lehrbetrieb</w:t>
            </w:r>
          </w:p>
          <w:p w:rsidR="00781378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Das Taggeld wird direkt an den Lehrbetrieb ausbezahlt. So erfolgt die Auszahlung:</w:t>
            </w:r>
          </w:p>
          <w:p w:rsidR="00781378" w:rsidRPr="00565963" w:rsidRDefault="00781378" w:rsidP="00781378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über die Ausgleichskasse des Lehrbetriebs</w:t>
            </w:r>
          </w:p>
          <w:p w:rsidR="00781378" w:rsidRPr="00565963" w:rsidRDefault="00781378" w:rsidP="00781378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Berechnung basierend auf Taggeldbescheinigung</w:t>
            </w:r>
          </w:p>
          <w:p w:rsidR="00781378" w:rsidRPr="00565963" w:rsidRDefault="00781378" w:rsidP="00781378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inklusive Beiträge für AHV, IV, EO, ALV</w:t>
            </w:r>
          </w:p>
          <w:p w:rsidR="00781378" w:rsidRPr="00565963" w:rsidRDefault="00781378" w:rsidP="00781378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exklusive Kosten Unfallversicherung und Spar-beitrag 2. Säule</w:t>
            </w:r>
          </w:p>
          <w:p w:rsidR="00781378" w:rsidRPr="00565963" w:rsidRDefault="00781378" w:rsidP="00781378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Auszahlung des Jahreslohns (inkl. 13. Monatslohn) in 12 Teilzahlungen</w:t>
            </w:r>
          </w:p>
          <w:p w:rsidR="00781378" w:rsidRPr="00565963" w:rsidRDefault="00781378" w:rsidP="00781378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bis zum 10. des Folgemonats (nachschüssige Auszahlung)</w:t>
            </w:r>
          </w:p>
        </w:tc>
        <w:tc>
          <w:tcPr>
            <w:tcW w:w="567" w:type="dxa"/>
          </w:tcPr>
          <w:p w:rsidR="00781378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3.6</w:t>
            </w:r>
          </w:p>
        </w:tc>
        <w:tc>
          <w:tcPr>
            <w:tcW w:w="3955" w:type="dxa"/>
          </w:tcPr>
          <w:p w:rsidR="008C2ECE" w:rsidRPr="00565963" w:rsidRDefault="008C2ECE" w:rsidP="008C2ECE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Unentschuldigte Absenzen</w:t>
            </w:r>
          </w:p>
          <w:p w:rsidR="00781378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 xml:space="preserve">Bei unentschuldigten Absenzen sind die Berufs-beraterin oder der Berufsberater sowie der Job Coach zu informieren, damit gemeinsam nach Lösungen gesucht werden kann. Auf der </w:t>
            </w: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Taggeldbescheinigung</w:t>
            </w:r>
            <w:r w:rsidRPr="00565963">
              <w:rPr>
                <w:rFonts w:cs="Arial"/>
                <w:sz w:val="16"/>
                <w:szCs w:val="16"/>
                <w:lang w:val="de-CH"/>
              </w:rPr>
              <w:t xml:space="preserve"> sind unentschuldigte Absenzen nur dann aufzuführen, wenn der Lehr-betrieb Lohnkürzungen vorgenommen hat (Tage und Kürzungsbetrag).</w:t>
            </w:r>
          </w:p>
        </w:tc>
      </w:tr>
      <w:tr w:rsidR="00781378" w:rsidRPr="00565963" w:rsidTr="00637372">
        <w:tc>
          <w:tcPr>
            <w:tcW w:w="439" w:type="dxa"/>
          </w:tcPr>
          <w:p w:rsidR="00781378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3.</w:t>
            </w:r>
          </w:p>
        </w:tc>
        <w:tc>
          <w:tcPr>
            <w:tcW w:w="4101" w:type="dxa"/>
          </w:tcPr>
          <w:p w:rsidR="00781378" w:rsidRPr="00565963" w:rsidRDefault="008C2ECE" w:rsidP="00781378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Anspruch bei Abwesenheit</w:t>
            </w:r>
          </w:p>
        </w:tc>
        <w:tc>
          <w:tcPr>
            <w:tcW w:w="567" w:type="dxa"/>
          </w:tcPr>
          <w:p w:rsidR="00781378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955" w:type="dxa"/>
          </w:tcPr>
          <w:p w:rsidR="00781378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81378" w:rsidRPr="00565963" w:rsidTr="00637372">
        <w:tc>
          <w:tcPr>
            <w:tcW w:w="439" w:type="dxa"/>
          </w:tcPr>
          <w:p w:rsidR="00781378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3.1</w:t>
            </w:r>
          </w:p>
        </w:tc>
        <w:tc>
          <w:tcPr>
            <w:tcW w:w="4101" w:type="dxa"/>
          </w:tcPr>
          <w:p w:rsidR="008C2ECE" w:rsidRPr="00565963" w:rsidRDefault="008C2ECE" w:rsidP="008C2ECE">
            <w:pPr>
              <w:spacing w:after="0"/>
              <w:jc w:val="left"/>
              <w:rPr>
                <w:rFonts w:cs="Arial"/>
                <w:b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b/>
                <w:sz w:val="16"/>
                <w:szCs w:val="16"/>
                <w:lang w:val="de-CH"/>
              </w:rPr>
              <w:t>Ferien</w:t>
            </w:r>
          </w:p>
          <w:p w:rsidR="00781378" w:rsidRPr="00565963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Der Taggeldanspruch besteht für Ferientage gemäss Lehrvertrag.</w:t>
            </w:r>
          </w:p>
        </w:tc>
        <w:tc>
          <w:tcPr>
            <w:tcW w:w="567" w:type="dxa"/>
          </w:tcPr>
          <w:p w:rsidR="00781378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955" w:type="dxa"/>
          </w:tcPr>
          <w:p w:rsidR="00781378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</w:tr>
    </w:tbl>
    <w:p w:rsidR="0016686E" w:rsidRPr="00781378" w:rsidRDefault="0016686E" w:rsidP="00781378">
      <w:pPr>
        <w:spacing w:after="0"/>
        <w:jc w:val="left"/>
        <w:rPr>
          <w:lang w:val="de-CH"/>
        </w:rPr>
      </w:pPr>
    </w:p>
    <w:sectPr w:rsidR="0016686E" w:rsidRPr="0078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961DC3"/>
    <w:multiLevelType w:val="hybridMultilevel"/>
    <w:tmpl w:val="1FBCC828"/>
    <w:lvl w:ilvl="0" w:tplc="37C007D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C74F0"/>
    <w:multiLevelType w:val="hybridMultilevel"/>
    <w:tmpl w:val="1A04522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C6CB2"/>
    <w:multiLevelType w:val="hybridMultilevel"/>
    <w:tmpl w:val="6352BB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1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D"/>
    <w:rsid w:val="000014D1"/>
    <w:rsid w:val="0000407B"/>
    <w:rsid w:val="00007EC6"/>
    <w:rsid w:val="00012A81"/>
    <w:rsid w:val="0004742E"/>
    <w:rsid w:val="00064CAD"/>
    <w:rsid w:val="00070628"/>
    <w:rsid w:val="00077AC0"/>
    <w:rsid w:val="0008342E"/>
    <w:rsid w:val="000851DE"/>
    <w:rsid w:val="000A1BF4"/>
    <w:rsid w:val="000A3624"/>
    <w:rsid w:val="000A70E8"/>
    <w:rsid w:val="000C7841"/>
    <w:rsid w:val="000D795B"/>
    <w:rsid w:val="000E42AF"/>
    <w:rsid w:val="000E730E"/>
    <w:rsid w:val="000F0D09"/>
    <w:rsid w:val="000F1A9C"/>
    <w:rsid w:val="000F69FD"/>
    <w:rsid w:val="000F6F9D"/>
    <w:rsid w:val="001170F1"/>
    <w:rsid w:val="001179DE"/>
    <w:rsid w:val="00123EB1"/>
    <w:rsid w:val="00125B23"/>
    <w:rsid w:val="00143371"/>
    <w:rsid w:val="00152943"/>
    <w:rsid w:val="0015735A"/>
    <w:rsid w:val="00162A42"/>
    <w:rsid w:val="00166298"/>
    <w:rsid w:val="0016686E"/>
    <w:rsid w:val="0018238D"/>
    <w:rsid w:val="001A00B4"/>
    <w:rsid w:val="001A2F35"/>
    <w:rsid w:val="001A3881"/>
    <w:rsid w:val="001D11A9"/>
    <w:rsid w:val="001E5334"/>
    <w:rsid w:val="002144C6"/>
    <w:rsid w:val="00221EA4"/>
    <w:rsid w:val="00235555"/>
    <w:rsid w:val="0024276F"/>
    <w:rsid w:val="00271172"/>
    <w:rsid w:val="00274454"/>
    <w:rsid w:val="002746CE"/>
    <w:rsid w:val="002748CB"/>
    <w:rsid w:val="00290685"/>
    <w:rsid w:val="002A3F9C"/>
    <w:rsid w:val="002A652C"/>
    <w:rsid w:val="002B1D43"/>
    <w:rsid w:val="002B3517"/>
    <w:rsid w:val="002C2FED"/>
    <w:rsid w:val="002D128F"/>
    <w:rsid w:val="002D29BC"/>
    <w:rsid w:val="002F5C5B"/>
    <w:rsid w:val="002F68FD"/>
    <w:rsid w:val="00301E3E"/>
    <w:rsid w:val="00303670"/>
    <w:rsid w:val="00305AAD"/>
    <w:rsid w:val="00310EFB"/>
    <w:rsid w:val="003465FF"/>
    <w:rsid w:val="00363D39"/>
    <w:rsid w:val="00373E96"/>
    <w:rsid w:val="0037590B"/>
    <w:rsid w:val="00376002"/>
    <w:rsid w:val="00382C50"/>
    <w:rsid w:val="00382E49"/>
    <w:rsid w:val="00395152"/>
    <w:rsid w:val="003A16C7"/>
    <w:rsid w:val="003C13FB"/>
    <w:rsid w:val="003C4A37"/>
    <w:rsid w:val="003D1E7B"/>
    <w:rsid w:val="003F1971"/>
    <w:rsid w:val="003F22C3"/>
    <w:rsid w:val="00404DDD"/>
    <w:rsid w:val="004056BE"/>
    <w:rsid w:val="00406033"/>
    <w:rsid w:val="00411CB5"/>
    <w:rsid w:val="00414093"/>
    <w:rsid w:val="0042080C"/>
    <w:rsid w:val="00421172"/>
    <w:rsid w:val="0043266C"/>
    <w:rsid w:val="0045585F"/>
    <w:rsid w:val="00464987"/>
    <w:rsid w:val="00477006"/>
    <w:rsid w:val="00481828"/>
    <w:rsid w:val="00496F36"/>
    <w:rsid w:val="004A792E"/>
    <w:rsid w:val="004B21BF"/>
    <w:rsid w:val="004D759F"/>
    <w:rsid w:val="004E47C9"/>
    <w:rsid w:val="00506FCA"/>
    <w:rsid w:val="005166EF"/>
    <w:rsid w:val="00516D24"/>
    <w:rsid w:val="00517DCA"/>
    <w:rsid w:val="005215AC"/>
    <w:rsid w:val="00522CD5"/>
    <w:rsid w:val="0052713B"/>
    <w:rsid w:val="00532E35"/>
    <w:rsid w:val="00533433"/>
    <w:rsid w:val="0054526A"/>
    <w:rsid w:val="005555AB"/>
    <w:rsid w:val="00565963"/>
    <w:rsid w:val="00586165"/>
    <w:rsid w:val="00592FA5"/>
    <w:rsid w:val="005B1CF3"/>
    <w:rsid w:val="005B5F9D"/>
    <w:rsid w:val="005D09B5"/>
    <w:rsid w:val="005D1DAA"/>
    <w:rsid w:val="005D5DC7"/>
    <w:rsid w:val="006017F3"/>
    <w:rsid w:val="006043B6"/>
    <w:rsid w:val="00610142"/>
    <w:rsid w:val="0061775C"/>
    <w:rsid w:val="00630008"/>
    <w:rsid w:val="00637372"/>
    <w:rsid w:val="00641269"/>
    <w:rsid w:val="00643A2B"/>
    <w:rsid w:val="00651452"/>
    <w:rsid w:val="00653312"/>
    <w:rsid w:val="0066654C"/>
    <w:rsid w:val="006672FE"/>
    <w:rsid w:val="00686F7D"/>
    <w:rsid w:val="006B0233"/>
    <w:rsid w:val="006B063A"/>
    <w:rsid w:val="006C0B2A"/>
    <w:rsid w:val="006C1E82"/>
    <w:rsid w:val="006C4449"/>
    <w:rsid w:val="006D18AA"/>
    <w:rsid w:val="006D4535"/>
    <w:rsid w:val="006D4CE1"/>
    <w:rsid w:val="006D6D41"/>
    <w:rsid w:val="006F56EC"/>
    <w:rsid w:val="0071054B"/>
    <w:rsid w:val="007262DA"/>
    <w:rsid w:val="00731182"/>
    <w:rsid w:val="00734A17"/>
    <w:rsid w:val="00736783"/>
    <w:rsid w:val="00753BDD"/>
    <w:rsid w:val="0076448E"/>
    <w:rsid w:val="00772133"/>
    <w:rsid w:val="00772CED"/>
    <w:rsid w:val="007736EA"/>
    <w:rsid w:val="00773936"/>
    <w:rsid w:val="00781378"/>
    <w:rsid w:val="00790BF7"/>
    <w:rsid w:val="00790CE7"/>
    <w:rsid w:val="00792DA7"/>
    <w:rsid w:val="007A0927"/>
    <w:rsid w:val="007B0830"/>
    <w:rsid w:val="007C45E4"/>
    <w:rsid w:val="007D41C5"/>
    <w:rsid w:val="007E02FD"/>
    <w:rsid w:val="007E0E80"/>
    <w:rsid w:val="007E531B"/>
    <w:rsid w:val="00800EFD"/>
    <w:rsid w:val="00813411"/>
    <w:rsid w:val="00814D69"/>
    <w:rsid w:val="0081519D"/>
    <w:rsid w:val="00846B4F"/>
    <w:rsid w:val="00847CD6"/>
    <w:rsid w:val="00857475"/>
    <w:rsid w:val="00860DCD"/>
    <w:rsid w:val="00871882"/>
    <w:rsid w:val="00883A81"/>
    <w:rsid w:val="00893CF7"/>
    <w:rsid w:val="00897F99"/>
    <w:rsid w:val="008C2ECE"/>
    <w:rsid w:val="008C4B7E"/>
    <w:rsid w:val="008C6069"/>
    <w:rsid w:val="008D42E3"/>
    <w:rsid w:val="008E11A4"/>
    <w:rsid w:val="008F2D41"/>
    <w:rsid w:val="008F4DFC"/>
    <w:rsid w:val="00920F9F"/>
    <w:rsid w:val="00936858"/>
    <w:rsid w:val="009372A0"/>
    <w:rsid w:val="00947EA7"/>
    <w:rsid w:val="009566E0"/>
    <w:rsid w:val="00960AD2"/>
    <w:rsid w:val="00960F86"/>
    <w:rsid w:val="009629DA"/>
    <w:rsid w:val="00986107"/>
    <w:rsid w:val="0098668A"/>
    <w:rsid w:val="00991C00"/>
    <w:rsid w:val="00991C3E"/>
    <w:rsid w:val="009972DB"/>
    <w:rsid w:val="009D0A4F"/>
    <w:rsid w:val="009D1BED"/>
    <w:rsid w:val="009E78EC"/>
    <w:rsid w:val="00A2447D"/>
    <w:rsid w:val="00A40FDA"/>
    <w:rsid w:val="00A50333"/>
    <w:rsid w:val="00A56BE0"/>
    <w:rsid w:val="00A57323"/>
    <w:rsid w:val="00A63E18"/>
    <w:rsid w:val="00A7699E"/>
    <w:rsid w:val="00A879C5"/>
    <w:rsid w:val="00A92A6B"/>
    <w:rsid w:val="00AA6230"/>
    <w:rsid w:val="00AB207B"/>
    <w:rsid w:val="00AC45B6"/>
    <w:rsid w:val="00AD36A1"/>
    <w:rsid w:val="00AE4CA6"/>
    <w:rsid w:val="00AF315E"/>
    <w:rsid w:val="00B05DDF"/>
    <w:rsid w:val="00B1729E"/>
    <w:rsid w:val="00B1759A"/>
    <w:rsid w:val="00B421B9"/>
    <w:rsid w:val="00B43B9F"/>
    <w:rsid w:val="00B64519"/>
    <w:rsid w:val="00B94FEB"/>
    <w:rsid w:val="00BA42C6"/>
    <w:rsid w:val="00BA540F"/>
    <w:rsid w:val="00BB07B5"/>
    <w:rsid w:val="00BE3949"/>
    <w:rsid w:val="00BF0AC1"/>
    <w:rsid w:val="00BF5CDB"/>
    <w:rsid w:val="00C3446E"/>
    <w:rsid w:val="00C50348"/>
    <w:rsid w:val="00C62287"/>
    <w:rsid w:val="00C83A45"/>
    <w:rsid w:val="00C868B8"/>
    <w:rsid w:val="00C96CAD"/>
    <w:rsid w:val="00CB3C13"/>
    <w:rsid w:val="00CB6257"/>
    <w:rsid w:val="00CD5692"/>
    <w:rsid w:val="00D416B3"/>
    <w:rsid w:val="00D5312D"/>
    <w:rsid w:val="00D60D14"/>
    <w:rsid w:val="00D62679"/>
    <w:rsid w:val="00D65EFC"/>
    <w:rsid w:val="00D76DAF"/>
    <w:rsid w:val="00D92ACC"/>
    <w:rsid w:val="00DA415B"/>
    <w:rsid w:val="00DA44B5"/>
    <w:rsid w:val="00DA55B8"/>
    <w:rsid w:val="00DB18A7"/>
    <w:rsid w:val="00DB1EEA"/>
    <w:rsid w:val="00E026C0"/>
    <w:rsid w:val="00E03020"/>
    <w:rsid w:val="00E36D82"/>
    <w:rsid w:val="00E52115"/>
    <w:rsid w:val="00E61DF0"/>
    <w:rsid w:val="00E628C5"/>
    <w:rsid w:val="00E62A31"/>
    <w:rsid w:val="00E805F1"/>
    <w:rsid w:val="00EA60CA"/>
    <w:rsid w:val="00EB0615"/>
    <w:rsid w:val="00EC07ED"/>
    <w:rsid w:val="00EC0D46"/>
    <w:rsid w:val="00ED7EB4"/>
    <w:rsid w:val="00EE4AD0"/>
    <w:rsid w:val="00EF31C3"/>
    <w:rsid w:val="00F03AB9"/>
    <w:rsid w:val="00F2121C"/>
    <w:rsid w:val="00F27E08"/>
    <w:rsid w:val="00F32D9F"/>
    <w:rsid w:val="00F373B0"/>
    <w:rsid w:val="00F45333"/>
    <w:rsid w:val="00F46142"/>
    <w:rsid w:val="00F52591"/>
    <w:rsid w:val="00F65322"/>
    <w:rsid w:val="00F87CFD"/>
    <w:rsid w:val="00F94380"/>
    <w:rsid w:val="00FA4142"/>
    <w:rsid w:val="00FD3823"/>
    <w:rsid w:val="00FD4088"/>
    <w:rsid w:val="00FE3B44"/>
    <w:rsid w:val="00FE431E"/>
    <w:rsid w:val="00FE6861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94B02A"/>
  <w15:chartTrackingRefBased/>
  <w15:docId w15:val="{56560A03-519E-4518-AB5E-A41DC0BC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AD"/>
    <w:pPr>
      <w:spacing w:after="120"/>
      <w:jc w:val="both"/>
    </w:pPr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/>
      <w:ind w:left="431" w:hanging="431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/>
      <w:outlineLvl w:val="2"/>
    </w:pPr>
    <w:rPr>
      <w:rFonts w:cs="Arial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416B3"/>
    <w:rPr>
      <w:rFonts w:ascii="Arial" w:hAnsi="Arial"/>
      <w:i/>
      <w:iCs/>
      <w:color w:val="000000" w:themeColor="text1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60" w:after="60"/>
    </w:pPr>
    <w:rPr>
      <w:rFonts w:ascii="Courier New" w:hAnsi="Courier New"/>
      <w:noProof/>
      <w:sz w:val="16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/>
    </w:pPr>
    <w:rPr>
      <w:b/>
      <w:color w:val="F29000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basedOn w:val="Policepardfaut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basedOn w:val="Policepardfaut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basedOn w:val="Policepardfaut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basedOn w:val="Policepardfaut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basedOn w:val="Policepardfaut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ind w:left="284"/>
      <w:jc w:val="left"/>
    </w:pPr>
    <w:rPr>
      <w:rFonts w:eastAsiaTheme="majorEastAsia" w:cstheme="majorBidi"/>
      <w:b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16B3"/>
    <w:rPr>
      <w:rFonts w:ascii="Arial" w:eastAsiaTheme="majorEastAsia" w:hAnsi="Arial" w:cstheme="majorBidi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rPr>
      <w:rFonts w:ascii="Courier New" w:hAnsi="Courier New"/>
      <w:noProof/>
      <w:sz w:val="18"/>
    </w:rPr>
  </w:style>
  <w:style w:type="character" w:customStyle="1" w:styleId="SpecialCar">
    <w:name w:val="Special Car"/>
    <w:basedOn w:val="Policepardfaut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416B3"/>
    <w:rPr>
      <w:color w:val="808080"/>
    </w:rPr>
  </w:style>
  <w:style w:type="character" w:customStyle="1" w:styleId="Titre2Car">
    <w:name w:val="Titre 2 Car"/>
    <w:basedOn w:val="Policepardfaut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D416B3"/>
    <w:rPr>
      <w:rFonts w:ascii="Arial" w:eastAsiaTheme="majorEastAsia" w:hAnsi="Arial" w:cstheme="majorBidi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/>
    </w:pPr>
    <w:rPr>
      <w:b/>
      <w:color w:val="FF0000"/>
    </w:rPr>
  </w:style>
  <w:style w:type="table" w:customStyle="1" w:styleId="Tabellenraster1">
    <w:name w:val="Tabellenraster1"/>
    <w:basedOn w:val="TableauNormal"/>
    <w:next w:val="Grilledutableau"/>
    <w:uiPriority w:val="39"/>
    <w:rsid w:val="00305AA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1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B182-0CE8-46E0-8EED-7CE87CA6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N/A</vt:lpstr>
    </vt:vector>
  </TitlesOfParts>
  <Company>GILAI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</dc:title>
  <dc:subject/>
  <dc:creator>Helene VONLANTHEN</dc:creator>
  <cp:keywords/>
  <dc:description/>
  <cp:lastModifiedBy>Helene VONLANTHEN</cp:lastModifiedBy>
  <cp:revision>10</cp:revision>
  <dcterms:created xsi:type="dcterms:W3CDTF">2023-07-20T06:03:00Z</dcterms:created>
  <dcterms:modified xsi:type="dcterms:W3CDTF">2023-07-20T06:34:00Z</dcterms:modified>
</cp:coreProperties>
</file>