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 w:rsidRPr="00A3252E">
        <w:tc>
          <w:tcPr>
            <w:tcW w:w="8575" w:type="dxa"/>
          </w:tcPr>
          <w:p w:rsidR="008C0823" w:rsidRPr="00A3252E" w:rsidRDefault="0098223E" w:rsidP="00E67F57">
            <w:pPr>
              <w:rPr>
                <w:rFonts w:cs="Arial"/>
              </w:rPr>
            </w:pPr>
            <w:bookmarkStart w:id="0" w:name="_GoBack"/>
            <w:bookmarkEnd w:id="0"/>
            <w:r w:rsidRPr="00A3252E">
              <w:rPr>
                <w:rFonts w:cs="Arial"/>
              </w:rPr>
              <w:t>Assurance-invalidité</w:t>
            </w:r>
          </w:p>
          <w:p w:rsidR="00E67F57" w:rsidRPr="00A3252E" w:rsidRDefault="00E67F57" w:rsidP="00E67F57">
            <w:pPr>
              <w:rPr>
                <w:rFonts w:cs="Arial"/>
                <w:color w:val="FFFFFF"/>
              </w:rPr>
            </w:pPr>
          </w:p>
          <w:p w:rsidR="008C0823" w:rsidRPr="00A3252E" w:rsidRDefault="0098223E" w:rsidP="003A30FC">
            <w:pPr>
              <w:rPr>
                <w:rFonts w:cs="Arial"/>
                <w:b/>
              </w:rPr>
            </w:pPr>
            <w:r w:rsidRPr="00A3252E">
              <w:rPr>
                <w:rFonts w:cs="Arial"/>
                <w:sz w:val="32"/>
              </w:rPr>
              <w:t xml:space="preserve">Note pour le rapport </w:t>
            </w:r>
            <w:r w:rsidR="003A30FC">
              <w:rPr>
                <w:rFonts w:cs="Arial"/>
                <w:sz w:val="32"/>
              </w:rPr>
              <w:t>d’expertise</w:t>
            </w:r>
          </w:p>
        </w:tc>
        <w:tc>
          <w:tcPr>
            <w:tcW w:w="1769" w:type="dxa"/>
          </w:tcPr>
          <w:p w:rsidR="008C0823" w:rsidRPr="00A3252E" w:rsidRDefault="00185241">
            <w:pPr>
              <w:jc w:val="right"/>
              <w:rPr>
                <w:rFonts w:cs="Arial"/>
              </w:rPr>
            </w:pPr>
            <w:r w:rsidRPr="0017173A">
              <w:rPr>
                <w:rFonts w:cs="Arial"/>
                <w:noProof/>
                <w:lang w:eastAsia="fr-CH"/>
              </w:rPr>
              <w:drawing>
                <wp:inline distT="0" distB="0" distL="0" distR="0">
                  <wp:extent cx="897255" cy="4743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823" w:rsidRPr="00A3252E" w:rsidRDefault="008C0823">
      <w:pPr>
        <w:jc w:val="both"/>
        <w:rPr>
          <w:rFonts w:cs="Arial"/>
        </w:rPr>
      </w:pPr>
    </w:p>
    <w:p w:rsidR="008C0823" w:rsidRPr="00A3252E" w:rsidRDefault="00F53156">
      <w:pPr>
        <w:pStyle w:val="Corpsdetexte2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 xml:space="preserve">Vous trouverez ci-joint le tarif médical </w:t>
      </w:r>
      <w:r w:rsidRPr="00F53156">
        <w:rPr>
          <w:b/>
          <w:sz w:val="16"/>
          <w:szCs w:val="16"/>
          <w:lang w:val="fr-CH"/>
        </w:rPr>
        <w:t>TarMed</w:t>
      </w:r>
      <w:r>
        <w:rPr>
          <w:sz w:val="16"/>
          <w:szCs w:val="16"/>
          <w:lang w:val="fr-CH"/>
        </w:rPr>
        <w:t xml:space="preserve"> </w:t>
      </w:r>
      <w:r w:rsidRPr="00F53156">
        <w:rPr>
          <w:b/>
          <w:sz w:val="16"/>
          <w:szCs w:val="16"/>
          <w:lang w:val="fr-CH"/>
        </w:rPr>
        <w:t>applicable</w:t>
      </w:r>
      <w:r w:rsidR="0098223E" w:rsidRPr="00A3252E">
        <w:rPr>
          <w:sz w:val="16"/>
          <w:szCs w:val="16"/>
          <w:lang w:val="fr-CH"/>
        </w:rPr>
        <w:t>.</w:t>
      </w:r>
    </w:p>
    <w:p w:rsidR="00D967EE" w:rsidRPr="00A3252E" w:rsidRDefault="00D967EE">
      <w:pPr>
        <w:pStyle w:val="Corpsdetexte2"/>
        <w:rPr>
          <w:sz w:val="16"/>
          <w:szCs w:val="16"/>
          <w:lang w:val="fr-CH"/>
        </w:rPr>
      </w:pP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023"/>
        <w:gridCol w:w="3118"/>
        <w:gridCol w:w="709"/>
        <w:gridCol w:w="709"/>
        <w:gridCol w:w="2551"/>
      </w:tblGrid>
      <w:tr w:rsidR="000A17A0" w:rsidRPr="002D2B57" w:rsidTr="000A17A0">
        <w:tc>
          <w:tcPr>
            <w:tcW w:w="1666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Prestations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Position</w:t>
            </w: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TARMED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Formulaire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PM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PT</w:t>
            </w:r>
          </w:p>
        </w:tc>
        <w:tc>
          <w:tcPr>
            <w:tcW w:w="2551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 xml:space="preserve">Explication </w:t>
            </w: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TARMED</w:t>
            </w:r>
          </w:p>
        </w:tc>
      </w:tr>
      <w:tr w:rsidR="000A17A0" w:rsidRPr="002D2B57" w:rsidTr="000A17A0">
        <w:tc>
          <w:tcPr>
            <w:tcW w:w="1666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médicale facile A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00.2310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de catégorie A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165.47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98.32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Étude du dossier prenant peu de temps, réponses pas difficiles du point de vue médical. Temps d’occupation du local : 60 min</w:t>
            </w: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00.2320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1’ à 30 ‘ lors de l’expertise Classe 1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82.74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49.16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00.2330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31’ à 60 ‘ lors de l’expertise Classe 2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165.47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98.32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00.2340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61’ à 90 ‘ lors de l’expertise Classe 3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248.21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147.48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00.2350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91’ à 120 ‘ lors de l’expertise Classe 4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330.95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196.65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00.2360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121’ à 150 ‘ lors de l’expertise Classe 5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413.68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245.81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00.2370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151’ à 180 ‘ lors de l’expertise Classe 6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496.42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294.97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00.2380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 de plus de 181’ lors de l’expertise Classe 7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médicale de difficulté moyenne B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00.2390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de catégorie B</w:t>
            </w: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496.42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294.97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Expertise de difficulté moyenne : appréciation des résultats antérieurs, discussions de diagnostics, recherche simple. Temps d’occupation du local : 180 min</w:t>
            </w: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00.2320 à 00.2380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Examens idem que pour expertise A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très difficile C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00.2400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de catégorie C</w:t>
            </w: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750.12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393.29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Expertise de difficulté élevée : problème complexe, appréciation des résultats et expertises antérieurs, liste étendue de questions, recherches difficiles. Temps d’occupation du local : 240 min</w:t>
            </w: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00.2320 à 00.2380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Examens idem que pour expertise A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d’un niveau de difficulté supérieur à la moyenne D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00.2410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de catégorie D</w:t>
            </w: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2008.8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688.26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Expertise de niveau de difficulté supérieure à la moyenne : dossier complexe avec nombreux résultats antérieurs, appréciation difficile des expertises antérieures, longue liste de questions exigeantes, recherches très difficiles. Temps d’occupation du local : 420 min</w:t>
            </w: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00.2320 à 00.2380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Examens idem que pour expertise A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  <w:tr w:rsidR="000A17A0" w:rsidRPr="002D2B57" w:rsidTr="000A17A0">
        <w:tc>
          <w:tcPr>
            <w:tcW w:w="1666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 extraordinairement difficile E</w:t>
            </w: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00.2420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  <w:r w:rsidRPr="000A17A0">
              <w:rPr>
                <w:rFonts w:cs="Arial"/>
                <w:b/>
                <w:sz w:val="16"/>
                <w:szCs w:val="18"/>
              </w:rPr>
              <w:t>Expertise de catégorie E</w:t>
            </w: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  <w:p w:rsidR="003A30FC" w:rsidRPr="000A17A0" w:rsidRDefault="003A30FC" w:rsidP="003673AF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  <w:lang w:val="fr-FR"/>
              </w:rPr>
              <w:t>Entrent dans cette catégorie, les expertises impliquant une étude extraordinairement difficile du dossier, des réflexions et des raisonnements très complexes, une rédaction particulièrement exigeante et des recherches inhabituellement volumineuses.</w:t>
            </w:r>
            <w:r w:rsidRPr="000A17A0">
              <w:rPr>
                <w:lang w:val="fr-FR"/>
              </w:rPr>
              <w:t xml:space="preserve"> </w:t>
            </w:r>
            <w:r w:rsidRPr="000A17A0">
              <w:rPr>
                <w:rFonts w:cs="Arial"/>
                <w:b/>
                <w:sz w:val="16"/>
                <w:szCs w:val="18"/>
                <w:lang w:val="fr-FR"/>
              </w:rPr>
              <w:t>Un devis doit être transmis au préalable ainsi qu’une validation avant toute facturation.</w:t>
            </w:r>
          </w:p>
        </w:tc>
      </w:tr>
      <w:tr w:rsidR="000A17A0" w:rsidRPr="002D2B57" w:rsidTr="000A17A0">
        <w:tc>
          <w:tcPr>
            <w:tcW w:w="1666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00.2320 à 00.2380</w:t>
            </w:r>
          </w:p>
        </w:tc>
        <w:tc>
          <w:tcPr>
            <w:tcW w:w="3118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>Examens idem que pour expertise A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  <w:r w:rsidRPr="000A17A0">
              <w:rPr>
                <w:rFonts w:cs="Arial"/>
                <w:sz w:val="16"/>
                <w:szCs w:val="18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3A30FC" w:rsidRPr="000A17A0" w:rsidRDefault="003A30FC" w:rsidP="003673AF">
            <w:pPr>
              <w:rPr>
                <w:rFonts w:cs="Arial"/>
                <w:sz w:val="16"/>
                <w:szCs w:val="18"/>
              </w:rPr>
            </w:pPr>
          </w:p>
        </w:tc>
      </w:tr>
    </w:tbl>
    <w:p w:rsidR="00F05147" w:rsidRPr="00A3252E" w:rsidRDefault="00F05147">
      <w:pPr>
        <w:rPr>
          <w:rFonts w:cs="Arial"/>
          <w:sz w:val="16"/>
          <w:szCs w:val="16"/>
        </w:rPr>
      </w:pPr>
    </w:p>
    <w:p w:rsidR="00F05147" w:rsidRPr="00A3252E" w:rsidRDefault="00F05147">
      <w:pPr>
        <w:jc w:val="both"/>
        <w:rPr>
          <w:rFonts w:cs="Arial"/>
          <w:sz w:val="16"/>
          <w:szCs w:val="16"/>
        </w:rPr>
      </w:pPr>
    </w:p>
    <w:p w:rsidR="00E67F57" w:rsidRDefault="00E67F57">
      <w:pPr>
        <w:jc w:val="both"/>
        <w:rPr>
          <w:rFonts w:cs="Arial"/>
          <w:b/>
          <w:sz w:val="16"/>
          <w:szCs w:val="16"/>
        </w:rPr>
      </w:pPr>
      <w:r w:rsidRPr="00A3252E">
        <w:rPr>
          <w:rFonts w:cs="Arial"/>
          <w:b/>
          <w:sz w:val="16"/>
          <w:szCs w:val="16"/>
        </w:rPr>
        <w:t>Cette feuille reste chez le médecin. Vous êtes prié de ne pas l’envoyer avec la facture.</w:t>
      </w: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Pr="00FF586F" w:rsidRDefault="00FF586F">
      <w:pPr>
        <w:jc w:val="both"/>
        <w:rPr>
          <w:rFonts w:cs="Arial"/>
          <w:sz w:val="16"/>
          <w:szCs w:val="16"/>
        </w:rPr>
      </w:pPr>
    </w:p>
    <w:p w:rsidR="00FF586F" w:rsidRDefault="00FF586F">
      <w:pPr>
        <w:jc w:val="both"/>
        <w:rPr>
          <w:rFonts w:cs="Arial"/>
          <w:sz w:val="16"/>
          <w:szCs w:val="16"/>
        </w:rPr>
      </w:pPr>
      <w:r w:rsidRPr="00FF586F">
        <w:rPr>
          <w:rFonts w:cs="Arial"/>
          <w:sz w:val="16"/>
          <w:szCs w:val="16"/>
        </w:rPr>
        <w:t>094</w:t>
      </w:r>
      <w:r w:rsidR="00B83FF2">
        <w:rPr>
          <w:rFonts w:cs="Arial"/>
          <w:sz w:val="16"/>
          <w:szCs w:val="16"/>
        </w:rPr>
        <w:t>0</w:t>
      </w:r>
      <w:r w:rsidRPr="00FF586F">
        <w:rPr>
          <w:rFonts w:cs="Arial"/>
          <w:sz w:val="16"/>
          <w:szCs w:val="16"/>
        </w:rPr>
        <w:t>f / 08.2020</w:t>
      </w:r>
    </w:p>
    <w:p w:rsidR="00E452F7" w:rsidRPr="00FF586F" w:rsidRDefault="00E452F7">
      <w:pPr>
        <w:jc w:val="both"/>
        <w:rPr>
          <w:rFonts w:cs="Arial"/>
          <w:sz w:val="16"/>
          <w:szCs w:val="16"/>
        </w:rPr>
      </w:pPr>
    </w:p>
    <w:sectPr w:rsidR="00E452F7" w:rsidRPr="00FF586F" w:rsidSect="008C0823">
      <w:pgSz w:w="11907" w:h="16840" w:code="9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AF" w:rsidRDefault="003673AF">
      <w:r>
        <w:separator/>
      </w:r>
    </w:p>
  </w:endnote>
  <w:endnote w:type="continuationSeparator" w:id="0">
    <w:p w:rsidR="003673AF" w:rsidRDefault="0036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AF" w:rsidRDefault="003673AF">
      <w:r>
        <w:separator/>
      </w:r>
    </w:p>
  </w:footnote>
  <w:footnote w:type="continuationSeparator" w:id="0">
    <w:p w:rsidR="003673AF" w:rsidRDefault="0036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0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22"/>
  </w:num>
  <w:num w:numId="11">
    <w:abstractNumId w:val="24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8"/>
  </w:num>
  <w:num w:numId="17">
    <w:abstractNumId w:val="17"/>
  </w:num>
  <w:num w:numId="18">
    <w:abstractNumId w:val="0"/>
  </w:num>
  <w:num w:numId="19">
    <w:abstractNumId w:val="19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12BD5"/>
    <w:rsid w:val="000430A3"/>
    <w:rsid w:val="00080859"/>
    <w:rsid w:val="000A17A0"/>
    <w:rsid w:val="000E3154"/>
    <w:rsid w:val="000E4710"/>
    <w:rsid w:val="001115B3"/>
    <w:rsid w:val="00120A8B"/>
    <w:rsid w:val="00125D72"/>
    <w:rsid w:val="00126BFB"/>
    <w:rsid w:val="0017173A"/>
    <w:rsid w:val="00176760"/>
    <w:rsid w:val="00185241"/>
    <w:rsid w:val="00186572"/>
    <w:rsid w:val="001B0958"/>
    <w:rsid w:val="001C26F8"/>
    <w:rsid w:val="001C5D74"/>
    <w:rsid w:val="001F154E"/>
    <w:rsid w:val="001F202A"/>
    <w:rsid w:val="00212977"/>
    <w:rsid w:val="0026180F"/>
    <w:rsid w:val="00265CE3"/>
    <w:rsid w:val="002C2D84"/>
    <w:rsid w:val="002C66D8"/>
    <w:rsid w:val="002E3068"/>
    <w:rsid w:val="003102D1"/>
    <w:rsid w:val="00355E4D"/>
    <w:rsid w:val="003673AF"/>
    <w:rsid w:val="0037617D"/>
    <w:rsid w:val="003A30FC"/>
    <w:rsid w:val="003E15D5"/>
    <w:rsid w:val="003E7010"/>
    <w:rsid w:val="00422849"/>
    <w:rsid w:val="00455DDC"/>
    <w:rsid w:val="00462B27"/>
    <w:rsid w:val="004F090C"/>
    <w:rsid w:val="00505469"/>
    <w:rsid w:val="0055631D"/>
    <w:rsid w:val="005E7B2D"/>
    <w:rsid w:val="00602D73"/>
    <w:rsid w:val="00663233"/>
    <w:rsid w:val="0069582B"/>
    <w:rsid w:val="006A1ED6"/>
    <w:rsid w:val="006B3939"/>
    <w:rsid w:val="006B5C5F"/>
    <w:rsid w:val="006E02D5"/>
    <w:rsid w:val="006F21FF"/>
    <w:rsid w:val="006F4554"/>
    <w:rsid w:val="00717471"/>
    <w:rsid w:val="0077016D"/>
    <w:rsid w:val="007741DC"/>
    <w:rsid w:val="00790681"/>
    <w:rsid w:val="00843BF6"/>
    <w:rsid w:val="00887C8A"/>
    <w:rsid w:val="008C0823"/>
    <w:rsid w:val="008D6FC9"/>
    <w:rsid w:val="009004B1"/>
    <w:rsid w:val="00906B80"/>
    <w:rsid w:val="0095191A"/>
    <w:rsid w:val="009669D9"/>
    <w:rsid w:val="009675CA"/>
    <w:rsid w:val="0098223E"/>
    <w:rsid w:val="009B6B1B"/>
    <w:rsid w:val="009C457B"/>
    <w:rsid w:val="00A23777"/>
    <w:rsid w:val="00A3252E"/>
    <w:rsid w:val="00A4483C"/>
    <w:rsid w:val="00A72A1F"/>
    <w:rsid w:val="00A7669E"/>
    <w:rsid w:val="00A826BC"/>
    <w:rsid w:val="00A83D89"/>
    <w:rsid w:val="00AB52B3"/>
    <w:rsid w:val="00AD22E3"/>
    <w:rsid w:val="00B01023"/>
    <w:rsid w:val="00B34E1C"/>
    <w:rsid w:val="00B44D8C"/>
    <w:rsid w:val="00B55327"/>
    <w:rsid w:val="00B83FF2"/>
    <w:rsid w:val="00BA4B71"/>
    <w:rsid w:val="00C2346A"/>
    <w:rsid w:val="00C41EF2"/>
    <w:rsid w:val="00C6769F"/>
    <w:rsid w:val="00CD1782"/>
    <w:rsid w:val="00D5399D"/>
    <w:rsid w:val="00D72B0C"/>
    <w:rsid w:val="00D967EE"/>
    <w:rsid w:val="00DA14C0"/>
    <w:rsid w:val="00DC6719"/>
    <w:rsid w:val="00E452F7"/>
    <w:rsid w:val="00E67F57"/>
    <w:rsid w:val="00E70850"/>
    <w:rsid w:val="00E92CFA"/>
    <w:rsid w:val="00EC429C"/>
    <w:rsid w:val="00ED2D71"/>
    <w:rsid w:val="00EF4C48"/>
    <w:rsid w:val="00EF5CD6"/>
    <w:rsid w:val="00F05147"/>
    <w:rsid w:val="00F26DF0"/>
    <w:rsid w:val="00F34C9A"/>
    <w:rsid w:val="00F53156"/>
    <w:rsid w:val="00FC3299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9348D5B-2153-46E4-8435-D449B2B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04847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A5498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A5498E"/>
    <w:pPr>
      <w:keepNext/>
      <w:spacing w:after="1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5498E"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A5498E"/>
    <w:pPr>
      <w:keepNext/>
      <w:jc w:val="center"/>
      <w:outlineLvl w:val="5"/>
    </w:pPr>
    <w:rPr>
      <w:b/>
      <w:sz w:val="18"/>
    </w:rPr>
  </w:style>
  <w:style w:type="paragraph" w:styleId="Titre7">
    <w:name w:val="heading 7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En-tte">
    <w:name w:val="header"/>
    <w:basedOn w:val="Normal"/>
    <w:rsid w:val="00A54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5498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Retraitcorpsdetexte2">
    <w:name w:val="Body Text Indent 2"/>
    <w:basedOn w:val="Normal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Notedebasdepage">
    <w:name w:val="footnote text"/>
    <w:basedOn w:val="Normal"/>
    <w:rsid w:val="00A5498E"/>
    <w:rPr>
      <w:lang w:val="de-DE" w:eastAsia="en-US"/>
    </w:rPr>
  </w:style>
  <w:style w:type="character" w:styleId="Lienhypertexte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A5498E"/>
    <w:rPr>
      <w:vertAlign w:val="superscript"/>
    </w:rPr>
  </w:style>
  <w:style w:type="paragraph" w:styleId="Corpsdetexte2">
    <w:name w:val="Body Text 2"/>
    <w:basedOn w:val="Normal"/>
    <w:rsid w:val="00A5498E"/>
    <w:pPr>
      <w:jc w:val="both"/>
    </w:pPr>
    <w:rPr>
      <w:rFonts w:cs="Arial"/>
      <w:sz w:val="22"/>
      <w:szCs w:val="24"/>
      <w:lang w:val="fr-FR"/>
    </w:rPr>
  </w:style>
  <w:style w:type="paragraph" w:styleId="Textedebulles">
    <w:name w:val="Balloon Text"/>
    <w:basedOn w:val="Normal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Normal"/>
    <w:rsid w:val="008D6FC9"/>
    <w:rPr>
      <w:sz w:val="6"/>
      <w:szCs w:val="6"/>
      <w:lang w:val="de-CH" w:eastAsia="de-CH"/>
    </w:rPr>
  </w:style>
  <w:style w:type="table" w:styleId="Grilledutableau">
    <w:name w:val="Table Grid"/>
    <w:basedOn w:val="TableauNormal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125D72"/>
    <w:rPr>
      <w:rFonts w:ascii="Arial" w:hAnsi="Arial"/>
      <w:lang w:val="fr-CH" w:eastAsia="fr-FR"/>
    </w:rPr>
  </w:style>
  <w:style w:type="table" w:styleId="Grilledetableauclaire">
    <w:name w:val="Grid Table Light"/>
    <w:basedOn w:val="TableauNormal"/>
    <w:rsid w:val="003A30F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Raphael MECKL</cp:lastModifiedBy>
  <cp:revision>2</cp:revision>
  <cp:lastPrinted>2018-07-30T08:27:00Z</cp:lastPrinted>
  <dcterms:created xsi:type="dcterms:W3CDTF">2024-07-01T12:55:00Z</dcterms:created>
  <dcterms:modified xsi:type="dcterms:W3CDTF">2024-07-01T12:55:00Z</dcterms:modified>
</cp:coreProperties>
</file>